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F48" w14:textId="2181B22A" w:rsidR="00655624" w:rsidRPr="00DD2E1F" w:rsidRDefault="002F2163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D2E1F" w:rsidRPr="00DD2E1F">
        <w:rPr>
          <w:rFonts w:ascii="Arial" w:hAnsi="Arial" w:cs="Arial"/>
          <w:b/>
          <w:color w:val="000000" w:themeColor="text1"/>
          <w:sz w:val="22"/>
        </w:rPr>
        <w:t>WATERFORD TOWNSHIP</w:t>
      </w:r>
      <w:r w:rsidR="00B95FCC" w:rsidRPr="00DD2E1F">
        <w:rPr>
          <w:rFonts w:ascii="Arial" w:hAnsi="Arial" w:cs="Arial"/>
          <w:b/>
          <w:color w:val="000000" w:themeColor="text1"/>
          <w:sz w:val="22"/>
        </w:rPr>
        <w:t xml:space="preserve"> SUPERVI</w:t>
      </w:r>
      <w:r w:rsidR="00754827" w:rsidRPr="00DD2E1F">
        <w:rPr>
          <w:rFonts w:ascii="Arial" w:hAnsi="Arial" w:cs="Arial"/>
          <w:b/>
          <w:color w:val="000000" w:themeColor="text1"/>
          <w:sz w:val="22"/>
        </w:rPr>
        <w:t>S</w:t>
      </w:r>
      <w:r w:rsidR="00B95FCC" w:rsidRPr="00DD2E1F">
        <w:rPr>
          <w:rFonts w:ascii="Arial" w:hAnsi="Arial" w:cs="Arial"/>
          <w:b/>
          <w:color w:val="000000" w:themeColor="text1"/>
          <w:sz w:val="22"/>
        </w:rPr>
        <w:t>ORS</w:t>
      </w:r>
    </w:p>
    <w:p w14:paraId="1D3B1758" w14:textId="6C74A677" w:rsidR="00F72EB5" w:rsidRPr="00DD2E1F" w:rsidRDefault="00DD2E1F">
      <w:pPr>
        <w:jc w:val="center"/>
        <w:rPr>
          <w:rFonts w:ascii="Arial" w:hAnsi="Arial" w:cs="Arial"/>
          <w:b/>
          <w:sz w:val="22"/>
        </w:rPr>
      </w:pPr>
      <w:r w:rsidRPr="00DD2E1F">
        <w:rPr>
          <w:rFonts w:ascii="Arial" w:hAnsi="Arial" w:cs="Arial"/>
          <w:b/>
          <w:sz w:val="22"/>
        </w:rPr>
        <w:t>REGULAR BUSINESS MEETING</w:t>
      </w:r>
    </w:p>
    <w:p w14:paraId="7EFB488E" w14:textId="50B545D9" w:rsidR="0045738B" w:rsidRPr="00C437FE" w:rsidRDefault="001A507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MARCH 6</w:t>
      </w:r>
      <w:r w:rsidR="008E3A97">
        <w:rPr>
          <w:rFonts w:ascii="Arial" w:hAnsi="Arial" w:cs="Arial"/>
          <w:b/>
          <w:sz w:val="22"/>
        </w:rPr>
        <w:t>, 202</w:t>
      </w:r>
      <w:r w:rsidR="004E05C8">
        <w:rPr>
          <w:rFonts w:ascii="Arial" w:hAnsi="Arial" w:cs="Arial"/>
          <w:b/>
          <w:sz w:val="22"/>
        </w:rPr>
        <w:t>4</w:t>
      </w:r>
      <w:r w:rsidR="00DD4E6C">
        <w:rPr>
          <w:rFonts w:ascii="Arial" w:hAnsi="Arial" w:cs="Arial"/>
          <w:b/>
          <w:sz w:val="22"/>
        </w:rPr>
        <w:tab/>
      </w:r>
    </w:p>
    <w:p w14:paraId="091B7BA1" w14:textId="21CF7A17" w:rsidR="0045738B" w:rsidRDefault="0045738B">
      <w:pPr>
        <w:jc w:val="center"/>
        <w:rPr>
          <w:rFonts w:ascii="Arial" w:hAnsi="Arial" w:cs="Arial"/>
          <w:b/>
          <w:sz w:val="22"/>
        </w:rPr>
      </w:pPr>
    </w:p>
    <w:p w14:paraId="7E6295B1" w14:textId="6F6DF1E2" w:rsidR="00DD2E1F" w:rsidRDefault="00DD2E1F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AGENDA</w:t>
      </w:r>
    </w:p>
    <w:p w14:paraId="05EA247A" w14:textId="076D57F7" w:rsidR="00F72EB5" w:rsidRPr="009C6A2D" w:rsidRDefault="00F72EB5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>SALUTE TO FLAG</w:t>
      </w:r>
    </w:p>
    <w:p w14:paraId="0286151F" w14:textId="13B44B1A" w:rsidR="0063526F" w:rsidRPr="00C437FE" w:rsidRDefault="0063526F">
      <w:pPr>
        <w:rPr>
          <w:rFonts w:ascii="Arial" w:hAnsi="Arial" w:cs="Arial"/>
          <w:sz w:val="22"/>
        </w:rPr>
      </w:pPr>
    </w:p>
    <w:p w14:paraId="059BD1A6" w14:textId="488F121C" w:rsidR="003F72AD" w:rsidRDefault="00A91874" w:rsidP="00A91874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>PUBLIC COMMENT</w:t>
      </w:r>
      <w:r w:rsidR="00170FF1">
        <w:rPr>
          <w:rFonts w:ascii="Arial" w:hAnsi="Arial" w:cs="Arial"/>
          <w:b/>
          <w:sz w:val="22"/>
          <w:u w:val="single"/>
        </w:rPr>
        <w:t xml:space="preserve"> </w:t>
      </w:r>
    </w:p>
    <w:p w14:paraId="6CE4ED99" w14:textId="17E314BF" w:rsidR="00A91874" w:rsidRPr="00D86317" w:rsidRDefault="00C67C4F" w:rsidP="00A91874">
      <w:pPr>
        <w:rPr>
          <w:rFonts w:ascii="Arial" w:hAnsi="Arial" w:cs="Arial"/>
          <w:sz w:val="22"/>
        </w:rPr>
      </w:pPr>
      <w:r w:rsidRPr="00C67C4F">
        <w:rPr>
          <w:rFonts w:ascii="Arial" w:hAnsi="Arial" w:cs="Arial"/>
          <w:sz w:val="22"/>
        </w:rPr>
        <w:tab/>
      </w:r>
    </w:p>
    <w:p w14:paraId="38793B65" w14:textId="3A90479D" w:rsidR="00E52550" w:rsidRPr="008144FF" w:rsidRDefault="00A91874" w:rsidP="00A91874">
      <w:pPr>
        <w:rPr>
          <w:rFonts w:ascii="Arial" w:hAnsi="Arial" w:cs="Arial"/>
          <w:b/>
          <w:sz w:val="22"/>
          <w:u w:val="single"/>
        </w:rPr>
      </w:pPr>
      <w:r w:rsidRPr="008144FF">
        <w:rPr>
          <w:rFonts w:ascii="Arial" w:hAnsi="Arial" w:cs="Arial"/>
          <w:b/>
          <w:sz w:val="22"/>
          <w:u w:val="single"/>
        </w:rPr>
        <w:t>APPROV</w:t>
      </w:r>
      <w:r w:rsidR="00D66304" w:rsidRPr="008144FF">
        <w:rPr>
          <w:rFonts w:ascii="Arial" w:hAnsi="Arial" w:cs="Arial"/>
          <w:b/>
          <w:sz w:val="22"/>
          <w:u w:val="single"/>
        </w:rPr>
        <w:t xml:space="preserve">AL </w:t>
      </w:r>
      <w:r w:rsidRPr="008144FF">
        <w:rPr>
          <w:rFonts w:ascii="Arial" w:hAnsi="Arial" w:cs="Arial"/>
          <w:b/>
          <w:sz w:val="22"/>
          <w:u w:val="single"/>
        </w:rPr>
        <w:t xml:space="preserve">OF </w:t>
      </w:r>
      <w:r w:rsidR="001A5073">
        <w:rPr>
          <w:rFonts w:ascii="Arial" w:hAnsi="Arial" w:cs="Arial"/>
          <w:b/>
          <w:sz w:val="22"/>
          <w:u w:val="single"/>
        </w:rPr>
        <w:t>FEBRUARY 21</w:t>
      </w:r>
      <w:r w:rsidR="00475403">
        <w:rPr>
          <w:rFonts w:ascii="Arial" w:hAnsi="Arial" w:cs="Arial"/>
          <w:b/>
          <w:sz w:val="22"/>
          <w:u w:val="single"/>
        </w:rPr>
        <w:t>, 2024</w:t>
      </w:r>
      <w:r w:rsidRPr="008144FF">
        <w:rPr>
          <w:rFonts w:ascii="Arial" w:hAnsi="Arial" w:cs="Arial"/>
          <w:b/>
          <w:sz w:val="22"/>
          <w:u w:val="single"/>
        </w:rPr>
        <w:t xml:space="preserve"> </w:t>
      </w:r>
      <w:r w:rsidR="008144FF" w:rsidRPr="008144FF">
        <w:rPr>
          <w:rFonts w:ascii="Arial" w:hAnsi="Arial" w:cs="Arial"/>
          <w:b/>
          <w:sz w:val="22"/>
          <w:u w:val="single"/>
        </w:rPr>
        <w:t>MINUTES</w:t>
      </w:r>
    </w:p>
    <w:p w14:paraId="1E714010" w14:textId="3736501A" w:rsidR="0092063F" w:rsidRPr="00D66304" w:rsidRDefault="0092063F">
      <w:pPr>
        <w:rPr>
          <w:rFonts w:ascii="Arial" w:hAnsi="Arial" w:cs="Arial"/>
          <w:color w:val="FF0000"/>
          <w:sz w:val="22"/>
        </w:rPr>
      </w:pPr>
    </w:p>
    <w:p w14:paraId="79B35B9C" w14:textId="5B8863FD" w:rsidR="0092063F" w:rsidRPr="006A7CFD" w:rsidRDefault="005D125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ROADMASTER’S REPORT</w:t>
      </w:r>
      <w:r w:rsidR="006A7CFD">
        <w:rPr>
          <w:rFonts w:ascii="Arial" w:hAnsi="Arial" w:cs="Arial"/>
          <w:bCs/>
          <w:sz w:val="22"/>
        </w:rPr>
        <w:t xml:space="preserve"> – See attached</w:t>
      </w:r>
    </w:p>
    <w:p w14:paraId="0AA659AF" w14:textId="2ACB38C3" w:rsidR="00E64150" w:rsidRDefault="00E64150">
      <w:pPr>
        <w:rPr>
          <w:rFonts w:ascii="Arial" w:hAnsi="Arial" w:cs="Arial"/>
          <w:b/>
          <w:sz w:val="22"/>
          <w:u w:val="single"/>
        </w:rPr>
      </w:pPr>
    </w:p>
    <w:p w14:paraId="514D4E6E" w14:textId="03B3B1A9" w:rsidR="00E64150" w:rsidRPr="006A7CFD" w:rsidRDefault="00A66FA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ZONING REPORT</w:t>
      </w:r>
      <w:r w:rsidR="006A7CFD">
        <w:rPr>
          <w:rFonts w:ascii="Arial" w:hAnsi="Arial" w:cs="Arial"/>
          <w:bCs/>
          <w:sz w:val="22"/>
        </w:rPr>
        <w:t xml:space="preserve"> – See attached</w:t>
      </w:r>
    </w:p>
    <w:p w14:paraId="4AAE6047" w14:textId="712BFE9A" w:rsidR="009702A0" w:rsidRDefault="009702A0">
      <w:pPr>
        <w:rPr>
          <w:rFonts w:ascii="Arial" w:hAnsi="Arial" w:cs="Arial"/>
          <w:b/>
          <w:sz w:val="22"/>
          <w:u w:val="single"/>
        </w:rPr>
      </w:pPr>
    </w:p>
    <w:p w14:paraId="13C54CD6" w14:textId="284D6661" w:rsidR="00F4778D" w:rsidRDefault="00F72EB5" w:rsidP="0071655A">
      <w:pPr>
        <w:rPr>
          <w:rFonts w:ascii="Arial" w:hAnsi="Arial" w:cs="Arial"/>
          <w:b/>
          <w:sz w:val="22"/>
          <w:u w:val="single"/>
        </w:rPr>
      </w:pPr>
      <w:r w:rsidRPr="00C437FE">
        <w:rPr>
          <w:rFonts w:ascii="Arial" w:hAnsi="Arial" w:cs="Arial"/>
          <w:b/>
          <w:sz w:val="22"/>
          <w:u w:val="single"/>
        </w:rPr>
        <w:t>OLD BUSINESS</w:t>
      </w:r>
    </w:p>
    <w:p w14:paraId="23E83F01" w14:textId="63737A7D" w:rsidR="003F72AD" w:rsidRDefault="001A5073" w:rsidP="00CE21F4">
      <w:pPr>
        <w:pStyle w:val="ListParagraph"/>
        <w:numPr>
          <w:ilvl w:val="0"/>
          <w:numId w:val="36"/>
        </w:numPr>
        <w:ind w:left="288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Cindy Kreider phoned this week and asked again about putting some small gardens of perennials and such in the roundabout.  Cost would be around $2,000.  Would the supervisors allow and fund this.</w:t>
      </w:r>
    </w:p>
    <w:p w14:paraId="392CAB48" w14:textId="77777777" w:rsidR="00683910" w:rsidRPr="00683910" w:rsidRDefault="00683910" w:rsidP="005416B9">
      <w:pPr>
        <w:pStyle w:val="ListParagraph"/>
        <w:ind w:left="0"/>
        <w:rPr>
          <w:rFonts w:ascii="Arial" w:hAnsi="Arial" w:cs="Arial"/>
          <w:sz w:val="22"/>
        </w:rPr>
      </w:pPr>
    </w:p>
    <w:p w14:paraId="7FFC79B5" w14:textId="0CC1DEC1" w:rsidR="008E3A97" w:rsidRDefault="00F72EB5" w:rsidP="008E3A97">
      <w:pPr>
        <w:rPr>
          <w:rFonts w:ascii="Arial" w:hAnsi="Arial" w:cs="Arial"/>
          <w:b/>
          <w:sz w:val="22"/>
          <w:u w:val="single"/>
        </w:rPr>
      </w:pPr>
      <w:r w:rsidRPr="00C437FE">
        <w:rPr>
          <w:rFonts w:ascii="Arial" w:hAnsi="Arial" w:cs="Arial"/>
          <w:b/>
          <w:sz w:val="22"/>
          <w:u w:val="single"/>
        </w:rPr>
        <w:t xml:space="preserve">NEW </w:t>
      </w:r>
      <w:r w:rsidRPr="006C7B1F">
        <w:rPr>
          <w:rFonts w:ascii="Arial" w:hAnsi="Arial" w:cs="Arial"/>
          <w:b/>
          <w:sz w:val="22"/>
          <w:u w:val="single"/>
        </w:rPr>
        <w:t>BUSINESS</w:t>
      </w:r>
    </w:p>
    <w:p w14:paraId="1969A5DE" w14:textId="37B0A412" w:rsidR="006B73A5" w:rsidRDefault="001A5073" w:rsidP="00CE21F4">
      <w:pPr>
        <w:pStyle w:val="ListParagraph"/>
        <w:numPr>
          <w:ilvl w:val="0"/>
          <w:numId w:val="33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Discussion with possible action to close the </w:t>
      </w:r>
      <w:r w:rsidR="00591096">
        <w:rPr>
          <w:rFonts w:ascii="Arial" w:hAnsi="Arial" w:cs="Arial"/>
          <w:bCs/>
          <w:sz w:val="22"/>
        </w:rPr>
        <w:t>Township facilities</w:t>
      </w:r>
      <w:r>
        <w:rPr>
          <w:rFonts w:ascii="Arial" w:hAnsi="Arial" w:cs="Arial"/>
          <w:bCs/>
          <w:sz w:val="22"/>
        </w:rPr>
        <w:t xml:space="preserve"> on Monday, April 8, 2024, the date of the eclipse.  Schools will be closed and traffic in the Township could be extreme.</w:t>
      </w:r>
    </w:p>
    <w:p w14:paraId="7BB2EF67" w14:textId="2DFA956F" w:rsidR="001A5073" w:rsidRDefault="001A5073" w:rsidP="00CE21F4">
      <w:pPr>
        <w:pStyle w:val="ListParagraph"/>
        <w:numPr>
          <w:ilvl w:val="0"/>
          <w:numId w:val="33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Authorization to get quotes on vegetation control around the guiderails.</w:t>
      </w:r>
    </w:p>
    <w:p w14:paraId="19616C66" w14:textId="5089C123" w:rsidR="001A5073" w:rsidRDefault="001A5073" w:rsidP="00CE21F4">
      <w:pPr>
        <w:pStyle w:val="ListParagraph"/>
        <w:numPr>
          <w:ilvl w:val="0"/>
          <w:numId w:val="33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Discussion with possible action to authorize applying for </w:t>
      </w:r>
      <w:r w:rsidR="00591096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 xml:space="preserve">ultimodal grant for prep and execution of tar and chip on Middleton, Hare, Haugh and Cross roads, jointly with </w:t>
      </w:r>
      <w:proofErr w:type="spellStart"/>
      <w:r>
        <w:rPr>
          <w:rFonts w:ascii="Arial" w:hAnsi="Arial" w:cs="Arial"/>
          <w:bCs/>
          <w:sz w:val="22"/>
        </w:rPr>
        <w:t>LeBoeuf</w:t>
      </w:r>
      <w:proofErr w:type="spellEnd"/>
      <w:r>
        <w:rPr>
          <w:rFonts w:ascii="Arial" w:hAnsi="Arial" w:cs="Arial"/>
          <w:bCs/>
          <w:sz w:val="22"/>
        </w:rPr>
        <w:t xml:space="preserve"> Township.</w:t>
      </w:r>
    </w:p>
    <w:p w14:paraId="2591CD9A" w14:textId="180CAB47" w:rsidR="001A5073" w:rsidRDefault="001A5073" w:rsidP="00CE21F4">
      <w:pPr>
        <w:pStyle w:val="ListParagraph"/>
        <w:numPr>
          <w:ilvl w:val="0"/>
          <w:numId w:val="33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Authorize attendance at the ECATO Yearbook dinner on Thursday, April 4, 2024, at the Colony Banquet &amp; Catering.  Cost is $30 per person.</w:t>
      </w:r>
    </w:p>
    <w:p w14:paraId="3C73324E" w14:textId="4CE5E0CB" w:rsidR="001A5073" w:rsidRDefault="001A5073" w:rsidP="00CE21F4">
      <w:pPr>
        <w:pStyle w:val="ListParagraph"/>
        <w:numPr>
          <w:ilvl w:val="0"/>
          <w:numId w:val="33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Accept/reject repository bid for a mobile home</w:t>
      </w:r>
      <w:r w:rsidR="00375B44">
        <w:rPr>
          <w:rFonts w:ascii="Arial" w:hAnsi="Arial" w:cs="Arial"/>
          <w:bCs/>
          <w:sz w:val="22"/>
        </w:rPr>
        <w:t xml:space="preserve"> (no property) at 12508 West Rd, Lot 3, Beeman’s Mobile Home Park.  Bidder is Ryan Feaster with a bid of $250.  He is relocating the mobile home to family property.</w:t>
      </w:r>
    </w:p>
    <w:p w14:paraId="76EDDF5F" w14:textId="4FC32E5C" w:rsidR="00C93885" w:rsidRPr="006A7CFD" w:rsidRDefault="00C93885" w:rsidP="00CE21F4">
      <w:pPr>
        <w:pStyle w:val="ListParagraph"/>
        <w:numPr>
          <w:ilvl w:val="0"/>
          <w:numId w:val="33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Authorize notice that Waterford Township is aware of, and approves of, the Roll-in for Veterans Parade of Vehicles that will be traveling through our Township on Saturday, July 13, 2024.</w:t>
      </w:r>
    </w:p>
    <w:p w14:paraId="4A63A0DF" w14:textId="77777777" w:rsidR="002C6883" w:rsidRDefault="002C6883" w:rsidP="00CE21F4">
      <w:pPr>
        <w:ind w:left="288" w:hanging="288"/>
        <w:rPr>
          <w:rFonts w:ascii="Arial" w:hAnsi="Arial" w:cs="Arial"/>
          <w:b/>
          <w:sz w:val="22"/>
          <w:u w:val="single"/>
        </w:rPr>
      </w:pPr>
    </w:p>
    <w:p w14:paraId="75EF03C3" w14:textId="4173756E" w:rsidR="00A14B98" w:rsidRDefault="00E2383E" w:rsidP="00DD4E6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CORRESPONDE</w:t>
      </w:r>
      <w:r w:rsidR="00A14B98" w:rsidRPr="00A14B98">
        <w:rPr>
          <w:rFonts w:ascii="Arial" w:hAnsi="Arial" w:cs="Arial"/>
          <w:b/>
          <w:sz w:val="22"/>
          <w:u w:val="single"/>
        </w:rPr>
        <w:t>NCE</w:t>
      </w:r>
    </w:p>
    <w:p w14:paraId="591C4BA4" w14:textId="27E2A184" w:rsidR="006A7CFD" w:rsidRDefault="00375B44" w:rsidP="00CE21F4">
      <w:pPr>
        <w:pStyle w:val="ListParagraph"/>
        <w:numPr>
          <w:ilvl w:val="0"/>
          <w:numId w:val="33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Deiss &amp; Halmi – Notification that Jason &amp; Janet Proper are applying to the PADEP for issuance of a Water Quality Management Permit and an NPDES Permit for a proposed small flow sewage treatment facility to serve an existing single-family residence at 12807 Plank Road, Waterford, PA.</w:t>
      </w:r>
    </w:p>
    <w:p w14:paraId="716BCB1A" w14:textId="77777777" w:rsidR="00CE21F4" w:rsidRPr="00375B44" w:rsidRDefault="00CE21F4" w:rsidP="00CE21F4">
      <w:pPr>
        <w:pStyle w:val="ListParagraph"/>
        <w:ind w:left="288"/>
        <w:rPr>
          <w:rFonts w:ascii="Arial" w:hAnsi="Arial" w:cs="Arial"/>
          <w:bCs/>
          <w:sz w:val="22"/>
        </w:rPr>
      </w:pPr>
    </w:p>
    <w:p w14:paraId="56D24706" w14:textId="01FF98CD" w:rsidR="006A7CFD" w:rsidRPr="006A7CFD" w:rsidRDefault="006A7CFD" w:rsidP="00DD4E6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RECEIPTS</w:t>
      </w:r>
      <w:r>
        <w:rPr>
          <w:rFonts w:ascii="Arial" w:hAnsi="Arial" w:cs="Arial"/>
          <w:bCs/>
          <w:sz w:val="22"/>
        </w:rPr>
        <w:t xml:space="preserve"> – See attached</w:t>
      </w:r>
    </w:p>
    <w:p w14:paraId="55E7B0B2" w14:textId="77777777" w:rsidR="00E55D1F" w:rsidRPr="00A66FA8" w:rsidRDefault="00E55D1F" w:rsidP="008C0516">
      <w:pPr>
        <w:rPr>
          <w:rFonts w:ascii="Arial" w:hAnsi="Arial" w:cs="Arial"/>
          <w:bCs/>
          <w:sz w:val="22"/>
        </w:rPr>
      </w:pPr>
    </w:p>
    <w:p w14:paraId="48A05B25" w14:textId="47C95D0D" w:rsidR="00F72EB5" w:rsidRPr="00C437FE" w:rsidRDefault="00F72EB5">
      <w:pPr>
        <w:rPr>
          <w:rFonts w:ascii="Arial" w:hAnsi="Arial" w:cs="Arial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t>BILL PAYMENT LIST</w:t>
      </w:r>
      <w:r w:rsidRPr="00C437FE">
        <w:rPr>
          <w:rFonts w:ascii="Arial" w:hAnsi="Arial" w:cs="Arial"/>
          <w:sz w:val="22"/>
        </w:rPr>
        <w:t>:</w:t>
      </w:r>
      <w:r w:rsidR="00E85FEF">
        <w:rPr>
          <w:rFonts w:ascii="Arial" w:hAnsi="Arial" w:cs="Arial"/>
          <w:sz w:val="22"/>
        </w:rPr>
        <w:t xml:space="preserve"> S</w:t>
      </w:r>
      <w:r w:rsidR="00021E69" w:rsidRPr="00C437FE">
        <w:rPr>
          <w:rFonts w:ascii="Arial" w:hAnsi="Arial" w:cs="Arial"/>
          <w:sz w:val="22"/>
        </w:rPr>
        <w:t>ee attached</w:t>
      </w:r>
    </w:p>
    <w:p w14:paraId="4AD57002" w14:textId="49B21889" w:rsidR="009702A0" w:rsidRDefault="00A706E4">
      <w:pPr>
        <w:rPr>
          <w:rFonts w:ascii="Arial" w:hAnsi="Arial" w:cs="Arial"/>
          <w:sz w:val="22"/>
        </w:rPr>
      </w:pPr>
      <w:r w:rsidRPr="00C437FE">
        <w:rPr>
          <w:rFonts w:ascii="Arial" w:hAnsi="Arial" w:cs="Arial"/>
          <w:sz w:val="22"/>
        </w:rPr>
        <w:t xml:space="preserve">Payroll Period </w:t>
      </w:r>
      <w:r w:rsidR="0088271B">
        <w:rPr>
          <w:rFonts w:ascii="Arial" w:hAnsi="Arial" w:cs="Arial"/>
          <w:sz w:val="22"/>
        </w:rPr>
        <w:t xml:space="preserve">02/17/24-03/01/24   </w:t>
      </w:r>
      <w:r w:rsidR="000F57F3">
        <w:rPr>
          <w:rFonts w:ascii="Arial" w:hAnsi="Arial" w:cs="Arial"/>
          <w:sz w:val="22"/>
        </w:rPr>
        <w:t xml:space="preserve">Check Date: </w:t>
      </w:r>
      <w:r w:rsidR="0088271B">
        <w:rPr>
          <w:rFonts w:ascii="Arial" w:hAnsi="Arial" w:cs="Arial"/>
          <w:sz w:val="22"/>
        </w:rPr>
        <w:t>03/06</w:t>
      </w:r>
      <w:r w:rsidR="00475403">
        <w:rPr>
          <w:rFonts w:ascii="Arial" w:hAnsi="Arial" w:cs="Arial"/>
          <w:sz w:val="22"/>
        </w:rPr>
        <w:t>/2024</w:t>
      </w:r>
      <w:r w:rsidR="000678ED">
        <w:rPr>
          <w:rFonts w:ascii="Arial" w:hAnsi="Arial" w:cs="Arial"/>
          <w:sz w:val="22"/>
        </w:rPr>
        <w:t xml:space="preserve">  </w:t>
      </w:r>
      <w:r w:rsidR="00E64150">
        <w:rPr>
          <w:rFonts w:ascii="Arial" w:hAnsi="Arial" w:cs="Arial"/>
          <w:sz w:val="22"/>
        </w:rPr>
        <w:t xml:space="preserve"> </w:t>
      </w:r>
      <w:r w:rsidR="000678ED">
        <w:rPr>
          <w:rFonts w:ascii="Arial" w:hAnsi="Arial" w:cs="Arial"/>
          <w:sz w:val="22"/>
        </w:rPr>
        <w:t xml:space="preserve">Cash Required </w:t>
      </w:r>
      <w:r w:rsidR="000E0ED3">
        <w:rPr>
          <w:rFonts w:ascii="Arial" w:hAnsi="Arial" w:cs="Arial"/>
          <w:sz w:val="22"/>
        </w:rPr>
        <w:t>$1</w:t>
      </w:r>
      <w:r w:rsidR="0088271B">
        <w:rPr>
          <w:rFonts w:ascii="Arial" w:hAnsi="Arial" w:cs="Arial"/>
          <w:sz w:val="22"/>
        </w:rPr>
        <w:t>4,613.97</w:t>
      </w:r>
    </w:p>
    <w:p w14:paraId="0D914173" w14:textId="0DEEB43C" w:rsidR="001B047A" w:rsidRPr="00C437FE" w:rsidRDefault="004F55A2" w:rsidP="00A14B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92D5C" w:rsidRPr="00C437FE">
        <w:rPr>
          <w:rFonts w:ascii="Arial" w:hAnsi="Arial" w:cs="Arial"/>
          <w:sz w:val="22"/>
        </w:rPr>
        <w:tab/>
      </w:r>
      <w:r w:rsidR="00677858" w:rsidRPr="00C437FE">
        <w:rPr>
          <w:rFonts w:ascii="Arial" w:hAnsi="Arial" w:cs="Arial"/>
          <w:sz w:val="22"/>
        </w:rPr>
        <w:tab/>
      </w:r>
      <w:r w:rsidR="001276FF" w:rsidRPr="00C437FE">
        <w:rPr>
          <w:rFonts w:ascii="Arial" w:hAnsi="Arial" w:cs="Arial"/>
          <w:sz w:val="22"/>
        </w:rPr>
        <w:t xml:space="preserve">  </w:t>
      </w:r>
      <w:r w:rsidR="00677858" w:rsidRPr="00C437FE">
        <w:rPr>
          <w:rFonts w:ascii="Arial" w:hAnsi="Arial" w:cs="Arial"/>
          <w:sz w:val="22"/>
        </w:rPr>
        <w:tab/>
      </w:r>
      <w:r w:rsidR="00A14B98">
        <w:rPr>
          <w:rFonts w:ascii="Arial" w:hAnsi="Arial" w:cs="Arial"/>
          <w:sz w:val="22"/>
        </w:rPr>
        <w:t xml:space="preserve">     </w:t>
      </w:r>
    </w:p>
    <w:p w14:paraId="188895FF" w14:textId="77777777" w:rsidR="0063526F" w:rsidRDefault="00124B91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 xml:space="preserve">MOTION TO </w:t>
      </w:r>
      <w:r w:rsidR="0063526F" w:rsidRPr="009C6A2D">
        <w:rPr>
          <w:rFonts w:ascii="Arial" w:hAnsi="Arial" w:cs="Arial"/>
          <w:b/>
          <w:sz w:val="22"/>
          <w:u w:val="single"/>
        </w:rPr>
        <w:t>APPROVE PAYMENT OF BILLS</w:t>
      </w:r>
    </w:p>
    <w:p w14:paraId="080CB36D" w14:textId="77777777" w:rsidR="001E3F04" w:rsidRDefault="001E3F04">
      <w:pPr>
        <w:rPr>
          <w:rFonts w:ascii="Arial" w:hAnsi="Arial" w:cs="Arial"/>
          <w:b/>
          <w:sz w:val="22"/>
          <w:u w:val="single"/>
        </w:rPr>
      </w:pPr>
    </w:p>
    <w:p w14:paraId="6ED554B8" w14:textId="77777777" w:rsidR="001E3F04" w:rsidRPr="00E64150" w:rsidRDefault="001E3F04" w:rsidP="001E3F0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EXECUTIVE SESSION</w:t>
      </w:r>
      <w:r>
        <w:rPr>
          <w:rFonts w:ascii="Arial" w:hAnsi="Arial" w:cs="Arial"/>
          <w:bCs/>
          <w:sz w:val="22"/>
        </w:rPr>
        <w:t xml:space="preserve"> – Discussion on legal/personnel matters (if needed)</w:t>
      </w:r>
    </w:p>
    <w:p w14:paraId="091FFB8D" w14:textId="77777777" w:rsidR="001E3F04" w:rsidRDefault="001E3F04" w:rsidP="001E3F04">
      <w:pPr>
        <w:rPr>
          <w:rFonts w:ascii="Arial" w:hAnsi="Arial" w:cs="Arial"/>
          <w:b/>
          <w:sz w:val="22"/>
          <w:u w:val="single"/>
        </w:rPr>
      </w:pPr>
    </w:p>
    <w:p w14:paraId="368A54BC" w14:textId="579FD369" w:rsidR="00CA455C" w:rsidRDefault="00124B91">
      <w:pPr>
        <w:rPr>
          <w:rFonts w:ascii="Arial" w:hAnsi="Arial" w:cs="Arial"/>
          <w:color w:val="C00000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t xml:space="preserve">MOTION TO </w:t>
      </w:r>
      <w:r w:rsidR="0063526F" w:rsidRPr="009C6A2D">
        <w:rPr>
          <w:rFonts w:ascii="Arial" w:hAnsi="Arial" w:cs="Arial"/>
          <w:b/>
          <w:sz w:val="22"/>
          <w:u w:val="single"/>
        </w:rPr>
        <w:t>ADJOURN MEETING</w:t>
      </w:r>
      <w:r w:rsidR="009C6A2D">
        <w:rPr>
          <w:rFonts w:ascii="Arial" w:hAnsi="Arial" w:cs="Arial"/>
          <w:b/>
          <w:sz w:val="22"/>
        </w:rPr>
        <w:t xml:space="preserve"> </w:t>
      </w:r>
      <w:r w:rsidR="00CA455C">
        <w:rPr>
          <w:rFonts w:ascii="Arial" w:hAnsi="Arial" w:cs="Arial"/>
          <w:color w:val="C00000"/>
          <w:sz w:val="22"/>
        </w:rPr>
        <w:tab/>
      </w:r>
    </w:p>
    <w:p w14:paraId="340D95D8" w14:textId="77777777" w:rsidR="006A7CFD" w:rsidRDefault="006A7CFD">
      <w:pPr>
        <w:rPr>
          <w:rFonts w:ascii="Arial" w:hAnsi="Arial" w:cs="Arial"/>
          <w:color w:val="C00000"/>
          <w:sz w:val="22"/>
        </w:rPr>
      </w:pPr>
    </w:p>
    <w:p w14:paraId="3ECF1C69" w14:textId="77777777" w:rsidR="006A7CFD" w:rsidRDefault="006A7CFD">
      <w:pPr>
        <w:rPr>
          <w:rFonts w:ascii="Arial" w:hAnsi="Arial" w:cs="Arial"/>
          <w:color w:val="C00000"/>
          <w:sz w:val="22"/>
        </w:rPr>
      </w:pPr>
    </w:p>
    <w:p w14:paraId="4DA8817B" w14:textId="77777777" w:rsidR="006A7CFD" w:rsidRDefault="006A7CFD">
      <w:pPr>
        <w:rPr>
          <w:rFonts w:ascii="Arial" w:hAnsi="Arial" w:cs="Arial"/>
          <w:color w:val="C00000"/>
          <w:sz w:val="22"/>
        </w:rPr>
      </w:pPr>
    </w:p>
    <w:p w14:paraId="5EA356A5" w14:textId="77777777" w:rsidR="006A7CFD" w:rsidRDefault="006A7CFD" w:rsidP="006A7CFD">
      <w:pPr>
        <w:rPr>
          <w:rFonts w:ascii="Arial" w:hAnsi="Arial" w:cs="Arial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lastRenderedPageBreak/>
        <w:t>RECEIPTS</w:t>
      </w:r>
      <w:r>
        <w:rPr>
          <w:rFonts w:ascii="Arial" w:hAnsi="Arial" w:cs="Arial"/>
          <w:sz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72"/>
        <w:gridCol w:w="1496"/>
      </w:tblGrid>
      <w:tr w:rsidR="006A7CFD" w14:paraId="359C0466" w14:textId="77777777" w:rsidTr="00BA6CDF">
        <w:tc>
          <w:tcPr>
            <w:tcW w:w="3240" w:type="dxa"/>
          </w:tcPr>
          <w:p w14:paraId="3B3FEF4E" w14:textId="08814DE1" w:rsidR="006A7CFD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ECGRA</w:t>
            </w:r>
          </w:p>
        </w:tc>
        <w:tc>
          <w:tcPr>
            <w:tcW w:w="3572" w:type="dxa"/>
          </w:tcPr>
          <w:p w14:paraId="1ECC4460" w14:textId="1EFBFB5A" w:rsidR="006A7CFD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4Q2023 Gaming Revenue</w:t>
            </w:r>
          </w:p>
        </w:tc>
        <w:tc>
          <w:tcPr>
            <w:tcW w:w="1496" w:type="dxa"/>
          </w:tcPr>
          <w:p w14:paraId="1D67E3D4" w14:textId="511FA755" w:rsidR="006A7CFD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36073.11</w:t>
            </w:r>
          </w:p>
        </w:tc>
      </w:tr>
      <w:tr w:rsidR="006A7CFD" w14:paraId="5A093E83" w14:textId="77777777" w:rsidTr="00BA6CDF">
        <w:tc>
          <w:tcPr>
            <w:tcW w:w="3240" w:type="dxa"/>
          </w:tcPr>
          <w:p w14:paraId="3D61825D" w14:textId="2029817C" w:rsidR="006A7CFD" w:rsidRDefault="00BC4093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60D3044C" w14:textId="1513B472" w:rsidR="006A7CFD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LST February</w:t>
            </w:r>
          </w:p>
        </w:tc>
        <w:tc>
          <w:tcPr>
            <w:tcW w:w="1496" w:type="dxa"/>
          </w:tcPr>
          <w:p w14:paraId="1A58C1A3" w14:textId="69743380" w:rsidR="006A7CFD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109.62</w:t>
            </w:r>
          </w:p>
        </w:tc>
      </w:tr>
      <w:tr w:rsidR="006A7CFD" w14:paraId="493B2443" w14:textId="77777777" w:rsidTr="00BA6CDF">
        <w:tc>
          <w:tcPr>
            <w:tcW w:w="3240" w:type="dxa"/>
          </w:tcPr>
          <w:p w14:paraId="2FB01F8D" w14:textId="4D3EE5D8" w:rsidR="006A7CFD" w:rsidRDefault="00BC4093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12B736A6" w14:textId="32612218" w:rsidR="006A7CFD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February</w:t>
            </w:r>
          </w:p>
        </w:tc>
        <w:tc>
          <w:tcPr>
            <w:tcW w:w="1496" w:type="dxa"/>
          </w:tcPr>
          <w:p w14:paraId="19B82A4A" w14:textId="100A39D3" w:rsidR="006A7CFD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14914.33</w:t>
            </w:r>
          </w:p>
        </w:tc>
      </w:tr>
      <w:tr w:rsidR="00BC4093" w14:paraId="38ABF664" w14:textId="77777777" w:rsidTr="00BA6CDF">
        <w:tc>
          <w:tcPr>
            <w:tcW w:w="3240" w:type="dxa"/>
          </w:tcPr>
          <w:p w14:paraId="6DDFFAE7" w14:textId="73730A42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44A960D6" w14:textId="2A4D2EBF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February</w:t>
            </w:r>
          </w:p>
        </w:tc>
        <w:tc>
          <w:tcPr>
            <w:tcW w:w="1496" w:type="dxa"/>
          </w:tcPr>
          <w:p w14:paraId="30F4C164" w14:textId="183C93D9" w:rsidR="00BC4093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10387.63</w:t>
            </w:r>
          </w:p>
        </w:tc>
      </w:tr>
      <w:tr w:rsidR="00BC4093" w14:paraId="74E13CE1" w14:textId="77777777" w:rsidTr="00BA6CDF">
        <w:tc>
          <w:tcPr>
            <w:tcW w:w="3240" w:type="dxa"/>
          </w:tcPr>
          <w:p w14:paraId="48B30DA4" w14:textId="42BA1230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E.C. Tax Claim Bureau</w:t>
            </w:r>
          </w:p>
        </w:tc>
        <w:tc>
          <w:tcPr>
            <w:tcW w:w="3572" w:type="dxa"/>
          </w:tcPr>
          <w:p w14:paraId="181F21A0" w14:textId="1025980A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Delinquent taxes</w:t>
            </w:r>
          </w:p>
        </w:tc>
        <w:tc>
          <w:tcPr>
            <w:tcW w:w="1496" w:type="dxa"/>
          </w:tcPr>
          <w:p w14:paraId="7D59B0D1" w14:textId="48A0748E" w:rsidR="00BC4093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5200.00</w:t>
            </w:r>
          </w:p>
        </w:tc>
      </w:tr>
      <w:tr w:rsidR="00BC4093" w14:paraId="6BBEB2C3" w14:textId="77777777" w:rsidTr="00BA6CDF">
        <w:tc>
          <w:tcPr>
            <w:tcW w:w="3240" w:type="dxa"/>
          </w:tcPr>
          <w:p w14:paraId="0601FEC3" w14:textId="3DDEBCFA" w:rsidR="00BC4093" w:rsidRDefault="00BC4093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15972BF3" w14:textId="5EBC7089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LST February</w:t>
            </w:r>
          </w:p>
        </w:tc>
        <w:tc>
          <w:tcPr>
            <w:tcW w:w="1496" w:type="dxa"/>
          </w:tcPr>
          <w:p w14:paraId="637DCA17" w14:textId="1C029648" w:rsidR="00BC4093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358.09</w:t>
            </w:r>
          </w:p>
        </w:tc>
      </w:tr>
      <w:tr w:rsidR="00BC4093" w14:paraId="767897F3" w14:textId="77777777" w:rsidTr="00BA6CDF">
        <w:tc>
          <w:tcPr>
            <w:tcW w:w="3240" w:type="dxa"/>
          </w:tcPr>
          <w:p w14:paraId="5AFD9FAE" w14:textId="6A38E44E" w:rsidR="00BC4093" w:rsidRDefault="00BC4093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4EE3AAA8" w14:textId="43EBB939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February</w:t>
            </w:r>
          </w:p>
        </w:tc>
        <w:tc>
          <w:tcPr>
            <w:tcW w:w="1496" w:type="dxa"/>
          </w:tcPr>
          <w:p w14:paraId="0F16BDB6" w14:textId="54739D96" w:rsidR="00BC4093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4811.87</w:t>
            </w:r>
          </w:p>
        </w:tc>
      </w:tr>
      <w:tr w:rsidR="00BC4093" w14:paraId="454B0BDE" w14:textId="77777777" w:rsidTr="00BA6CDF">
        <w:tc>
          <w:tcPr>
            <w:tcW w:w="3240" w:type="dxa"/>
          </w:tcPr>
          <w:p w14:paraId="21D90D18" w14:textId="6EE57A02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Office of the Budget</w:t>
            </w:r>
          </w:p>
        </w:tc>
        <w:tc>
          <w:tcPr>
            <w:tcW w:w="3572" w:type="dxa"/>
          </w:tcPr>
          <w:p w14:paraId="1ED8195B" w14:textId="4B6102F9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Niemeyer Construction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Pmt</w:t>
            </w:r>
            <w:proofErr w:type="spellEnd"/>
          </w:p>
        </w:tc>
        <w:tc>
          <w:tcPr>
            <w:tcW w:w="1496" w:type="dxa"/>
          </w:tcPr>
          <w:p w14:paraId="6351698C" w14:textId="342B5F7A" w:rsidR="00BC4093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360844.20</w:t>
            </w:r>
          </w:p>
        </w:tc>
      </w:tr>
      <w:tr w:rsidR="00BC4093" w14:paraId="031C8026" w14:textId="77777777" w:rsidTr="00BA6CDF">
        <w:tc>
          <w:tcPr>
            <w:tcW w:w="3240" w:type="dxa"/>
          </w:tcPr>
          <w:p w14:paraId="132277AB" w14:textId="483AE2B0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2C558FDF" w14:textId="6483962E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February</w:t>
            </w:r>
          </w:p>
        </w:tc>
        <w:tc>
          <w:tcPr>
            <w:tcW w:w="1496" w:type="dxa"/>
          </w:tcPr>
          <w:p w14:paraId="697D330E" w14:textId="10871BAD" w:rsidR="00BC4093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2077.28</w:t>
            </w:r>
          </w:p>
        </w:tc>
      </w:tr>
      <w:tr w:rsidR="00BC4093" w14:paraId="27F6961C" w14:textId="77777777" w:rsidTr="00BA6CDF">
        <w:tc>
          <w:tcPr>
            <w:tcW w:w="3240" w:type="dxa"/>
          </w:tcPr>
          <w:p w14:paraId="23508C51" w14:textId="4D89F5C3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Office of the Budget</w:t>
            </w:r>
          </w:p>
        </w:tc>
        <w:tc>
          <w:tcPr>
            <w:tcW w:w="3572" w:type="dxa"/>
          </w:tcPr>
          <w:p w14:paraId="6423D751" w14:textId="7889AFC7" w:rsidR="00BC4093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Liquid Fuels Turnback</w:t>
            </w:r>
          </w:p>
        </w:tc>
        <w:tc>
          <w:tcPr>
            <w:tcW w:w="1496" w:type="dxa"/>
          </w:tcPr>
          <w:p w14:paraId="4E081ABD" w14:textId="1D5429C8" w:rsidR="00BC4093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24240.00</w:t>
            </w:r>
          </w:p>
        </w:tc>
      </w:tr>
      <w:tr w:rsidR="00501BE7" w14:paraId="06522E6E" w14:textId="77777777" w:rsidTr="00BA6CDF">
        <w:tc>
          <w:tcPr>
            <w:tcW w:w="3240" w:type="dxa"/>
          </w:tcPr>
          <w:p w14:paraId="48B9A363" w14:textId="1AA4E06B" w:rsidR="00501BE7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Office of the Budget</w:t>
            </w:r>
          </w:p>
        </w:tc>
        <w:tc>
          <w:tcPr>
            <w:tcW w:w="3572" w:type="dxa"/>
          </w:tcPr>
          <w:p w14:paraId="14BDDEB7" w14:textId="7F8C683A" w:rsidR="00501BE7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Liquid Fuels 2024</w:t>
            </w:r>
          </w:p>
        </w:tc>
        <w:tc>
          <w:tcPr>
            <w:tcW w:w="1496" w:type="dxa"/>
          </w:tcPr>
          <w:p w14:paraId="5315CC79" w14:textId="67BFDE1F" w:rsidR="00501BE7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278445.72</w:t>
            </w:r>
          </w:p>
        </w:tc>
      </w:tr>
      <w:tr w:rsidR="00501BE7" w14:paraId="7AE49115" w14:textId="77777777" w:rsidTr="0088271B">
        <w:trPr>
          <w:trHeight w:val="80"/>
        </w:trPr>
        <w:tc>
          <w:tcPr>
            <w:tcW w:w="3240" w:type="dxa"/>
          </w:tcPr>
          <w:p w14:paraId="3065FCAA" w14:textId="1F6F1EEB" w:rsidR="00501BE7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Office of the Budget</w:t>
            </w:r>
          </w:p>
        </w:tc>
        <w:tc>
          <w:tcPr>
            <w:tcW w:w="3572" w:type="dxa"/>
          </w:tcPr>
          <w:p w14:paraId="539AC6DF" w14:textId="7C26023E" w:rsidR="00501BE7" w:rsidRDefault="0088271B" w:rsidP="00BA6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Reimb. Of HRG invoice</w:t>
            </w:r>
          </w:p>
        </w:tc>
        <w:tc>
          <w:tcPr>
            <w:tcW w:w="1496" w:type="dxa"/>
          </w:tcPr>
          <w:p w14:paraId="73CC2CEE" w14:textId="0A117E33" w:rsidR="00501BE7" w:rsidRDefault="0088271B" w:rsidP="00BA6C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4070.67</w:t>
            </w:r>
          </w:p>
        </w:tc>
      </w:tr>
    </w:tbl>
    <w:p w14:paraId="7CEAEDD6" w14:textId="77777777" w:rsidR="006A7CFD" w:rsidRDefault="006A7CFD" w:rsidP="006A7C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2B39ACB5" w14:textId="77777777" w:rsidR="006A7CFD" w:rsidRPr="00CA455C" w:rsidRDefault="006A7CFD">
      <w:pPr>
        <w:rPr>
          <w:rFonts w:ascii="Arial" w:hAnsi="Arial" w:cs="Arial"/>
          <w:b/>
          <w:color w:val="C00000"/>
          <w:sz w:val="22"/>
        </w:rPr>
      </w:pPr>
    </w:p>
    <w:sectPr w:rsidR="006A7CFD" w:rsidRPr="00CA455C" w:rsidSect="002B6D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E3"/>
    <w:multiLevelType w:val="hybridMultilevel"/>
    <w:tmpl w:val="A7B6A3F6"/>
    <w:lvl w:ilvl="0" w:tplc="BCCA2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D4F"/>
    <w:multiLevelType w:val="hybridMultilevel"/>
    <w:tmpl w:val="9670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C91"/>
    <w:multiLevelType w:val="hybridMultilevel"/>
    <w:tmpl w:val="6D665068"/>
    <w:lvl w:ilvl="0" w:tplc="6798C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F18"/>
    <w:multiLevelType w:val="hybridMultilevel"/>
    <w:tmpl w:val="E60A99E4"/>
    <w:lvl w:ilvl="0" w:tplc="655CE796">
      <w:start w:val="1"/>
      <w:numFmt w:val="upperRoman"/>
      <w:lvlText w:val="%1."/>
      <w:lvlJc w:val="left"/>
      <w:pPr>
        <w:ind w:left="106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04965A9"/>
    <w:multiLevelType w:val="hybridMultilevel"/>
    <w:tmpl w:val="ADE4A5D8"/>
    <w:lvl w:ilvl="0" w:tplc="1566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4F6"/>
    <w:multiLevelType w:val="hybridMultilevel"/>
    <w:tmpl w:val="71C0690E"/>
    <w:lvl w:ilvl="0" w:tplc="685874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8EE"/>
    <w:multiLevelType w:val="hybridMultilevel"/>
    <w:tmpl w:val="664E4D8A"/>
    <w:lvl w:ilvl="0" w:tplc="94F2B1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87686"/>
    <w:multiLevelType w:val="hybridMultilevel"/>
    <w:tmpl w:val="98EE7A18"/>
    <w:lvl w:ilvl="0" w:tplc="67B036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06F3"/>
    <w:multiLevelType w:val="hybridMultilevel"/>
    <w:tmpl w:val="7D3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DDD"/>
    <w:multiLevelType w:val="hybridMultilevel"/>
    <w:tmpl w:val="76E6D498"/>
    <w:lvl w:ilvl="0" w:tplc="11124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E7642"/>
    <w:multiLevelType w:val="hybridMultilevel"/>
    <w:tmpl w:val="29B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1DC3"/>
    <w:multiLevelType w:val="hybridMultilevel"/>
    <w:tmpl w:val="E8E2E6C4"/>
    <w:lvl w:ilvl="0" w:tplc="96F4A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5D26"/>
    <w:multiLevelType w:val="hybridMultilevel"/>
    <w:tmpl w:val="C226BF20"/>
    <w:lvl w:ilvl="0" w:tplc="3E92C54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5E55389"/>
    <w:multiLevelType w:val="hybridMultilevel"/>
    <w:tmpl w:val="C9740CDA"/>
    <w:lvl w:ilvl="0" w:tplc="6D663B92">
      <w:start w:val="1"/>
      <w:numFmt w:val="upperRoman"/>
      <w:lvlText w:val="%1."/>
      <w:lvlJc w:val="left"/>
      <w:pPr>
        <w:ind w:left="117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986680"/>
    <w:multiLevelType w:val="hybridMultilevel"/>
    <w:tmpl w:val="0F048254"/>
    <w:lvl w:ilvl="0" w:tplc="978A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1530B"/>
    <w:multiLevelType w:val="hybridMultilevel"/>
    <w:tmpl w:val="69F44766"/>
    <w:lvl w:ilvl="0" w:tplc="561620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F25230"/>
    <w:multiLevelType w:val="hybridMultilevel"/>
    <w:tmpl w:val="9672063A"/>
    <w:lvl w:ilvl="0" w:tplc="045CA9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05C67"/>
    <w:multiLevelType w:val="hybridMultilevel"/>
    <w:tmpl w:val="994EEFDE"/>
    <w:lvl w:ilvl="0" w:tplc="BA10AD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5838"/>
    <w:multiLevelType w:val="hybridMultilevel"/>
    <w:tmpl w:val="427879E6"/>
    <w:lvl w:ilvl="0" w:tplc="972E4B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14CD2"/>
    <w:multiLevelType w:val="hybridMultilevel"/>
    <w:tmpl w:val="9ED26CEC"/>
    <w:lvl w:ilvl="0" w:tplc="38F0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348A"/>
    <w:multiLevelType w:val="hybridMultilevel"/>
    <w:tmpl w:val="AC388B6A"/>
    <w:lvl w:ilvl="0" w:tplc="3EB63A9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73D"/>
    <w:multiLevelType w:val="hybridMultilevel"/>
    <w:tmpl w:val="4EC8A312"/>
    <w:lvl w:ilvl="0" w:tplc="CCA0B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26264"/>
    <w:multiLevelType w:val="hybridMultilevel"/>
    <w:tmpl w:val="A55A0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F097C"/>
    <w:multiLevelType w:val="hybridMultilevel"/>
    <w:tmpl w:val="E5488ABA"/>
    <w:lvl w:ilvl="0" w:tplc="A83481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649B"/>
    <w:multiLevelType w:val="hybridMultilevel"/>
    <w:tmpl w:val="555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1261B"/>
    <w:multiLevelType w:val="hybridMultilevel"/>
    <w:tmpl w:val="11F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E287C"/>
    <w:multiLevelType w:val="hybridMultilevel"/>
    <w:tmpl w:val="BB44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C34E85"/>
    <w:multiLevelType w:val="hybridMultilevel"/>
    <w:tmpl w:val="572CBDE6"/>
    <w:lvl w:ilvl="0" w:tplc="F6A81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C0297"/>
    <w:multiLevelType w:val="hybridMultilevel"/>
    <w:tmpl w:val="19181B7C"/>
    <w:lvl w:ilvl="0" w:tplc="66D8FA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C57C0"/>
    <w:multiLevelType w:val="hybridMultilevel"/>
    <w:tmpl w:val="43E4E0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243A0A"/>
    <w:multiLevelType w:val="hybridMultilevel"/>
    <w:tmpl w:val="0E74EEBC"/>
    <w:lvl w:ilvl="0" w:tplc="B1D232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07CEC"/>
    <w:multiLevelType w:val="hybridMultilevel"/>
    <w:tmpl w:val="E30E0ADA"/>
    <w:lvl w:ilvl="0" w:tplc="E2B26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123DC"/>
    <w:multiLevelType w:val="hybridMultilevel"/>
    <w:tmpl w:val="CF0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E7AA2"/>
    <w:multiLevelType w:val="hybridMultilevel"/>
    <w:tmpl w:val="8F844A92"/>
    <w:lvl w:ilvl="0" w:tplc="2A9E5E6A">
      <w:start w:val="1"/>
      <w:numFmt w:val="upperRoman"/>
      <w:lvlText w:val="%1."/>
      <w:lvlJc w:val="left"/>
      <w:pPr>
        <w:ind w:left="100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7E97301B"/>
    <w:multiLevelType w:val="hybridMultilevel"/>
    <w:tmpl w:val="19843A54"/>
    <w:lvl w:ilvl="0" w:tplc="F46A1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803AE"/>
    <w:multiLevelType w:val="hybridMultilevel"/>
    <w:tmpl w:val="2AB48316"/>
    <w:lvl w:ilvl="0" w:tplc="E7A4F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897428">
    <w:abstractNumId w:val="2"/>
  </w:num>
  <w:num w:numId="2" w16cid:durableId="1422336382">
    <w:abstractNumId w:val="20"/>
  </w:num>
  <w:num w:numId="3" w16cid:durableId="1644695411">
    <w:abstractNumId w:val="21"/>
  </w:num>
  <w:num w:numId="4" w16cid:durableId="2089109941">
    <w:abstractNumId w:val="14"/>
  </w:num>
  <w:num w:numId="5" w16cid:durableId="1253857494">
    <w:abstractNumId w:val="19"/>
  </w:num>
  <w:num w:numId="6" w16cid:durableId="1230576537">
    <w:abstractNumId w:val="0"/>
  </w:num>
  <w:num w:numId="7" w16cid:durableId="1104886984">
    <w:abstractNumId w:val="23"/>
  </w:num>
  <w:num w:numId="8" w16cid:durableId="770508832">
    <w:abstractNumId w:val="15"/>
  </w:num>
  <w:num w:numId="9" w16cid:durableId="2120637392">
    <w:abstractNumId w:val="16"/>
  </w:num>
  <w:num w:numId="10" w16cid:durableId="725027573">
    <w:abstractNumId w:val="4"/>
  </w:num>
  <w:num w:numId="11" w16cid:durableId="1489857132">
    <w:abstractNumId w:val="12"/>
  </w:num>
  <w:num w:numId="12" w16cid:durableId="2062359479">
    <w:abstractNumId w:val="34"/>
  </w:num>
  <w:num w:numId="13" w16cid:durableId="828405448">
    <w:abstractNumId w:val="27"/>
  </w:num>
  <w:num w:numId="14" w16cid:durableId="1791783814">
    <w:abstractNumId w:val="5"/>
  </w:num>
  <w:num w:numId="15" w16cid:durableId="216860265">
    <w:abstractNumId w:val="13"/>
  </w:num>
  <w:num w:numId="16" w16cid:durableId="282200675">
    <w:abstractNumId w:val="11"/>
  </w:num>
  <w:num w:numId="17" w16cid:durableId="2092384322">
    <w:abstractNumId w:val="7"/>
  </w:num>
  <w:num w:numId="18" w16cid:durableId="1094015299">
    <w:abstractNumId w:val="29"/>
  </w:num>
  <w:num w:numId="19" w16cid:durableId="1557082343">
    <w:abstractNumId w:val="22"/>
  </w:num>
  <w:num w:numId="20" w16cid:durableId="701595561">
    <w:abstractNumId w:val="35"/>
  </w:num>
  <w:num w:numId="21" w16cid:durableId="197010038">
    <w:abstractNumId w:val="28"/>
  </w:num>
  <w:num w:numId="22" w16cid:durableId="339505133">
    <w:abstractNumId w:val="33"/>
  </w:num>
  <w:num w:numId="23" w16cid:durableId="2081705828">
    <w:abstractNumId w:val="30"/>
  </w:num>
  <w:num w:numId="24" w16cid:durableId="35783043">
    <w:abstractNumId w:val="3"/>
  </w:num>
  <w:num w:numId="25" w16cid:durableId="539631518">
    <w:abstractNumId w:val="17"/>
  </w:num>
  <w:num w:numId="26" w16cid:durableId="780033968">
    <w:abstractNumId w:val="18"/>
  </w:num>
  <w:num w:numId="27" w16cid:durableId="1566723943">
    <w:abstractNumId w:val="6"/>
  </w:num>
  <w:num w:numId="28" w16cid:durableId="979267820">
    <w:abstractNumId w:val="9"/>
  </w:num>
  <w:num w:numId="29" w16cid:durableId="1707486936">
    <w:abstractNumId w:val="31"/>
  </w:num>
  <w:num w:numId="30" w16cid:durableId="1406797781">
    <w:abstractNumId w:val="32"/>
  </w:num>
  <w:num w:numId="31" w16cid:durableId="437068582">
    <w:abstractNumId w:val="10"/>
  </w:num>
  <w:num w:numId="32" w16cid:durableId="1038241343">
    <w:abstractNumId w:val="8"/>
  </w:num>
  <w:num w:numId="33" w16cid:durableId="98568735">
    <w:abstractNumId w:val="24"/>
  </w:num>
  <w:num w:numId="34" w16cid:durableId="427581305">
    <w:abstractNumId w:val="25"/>
  </w:num>
  <w:num w:numId="35" w16cid:durableId="192577260">
    <w:abstractNumId w:val="26"/>
  </w:num>
  <w:num w:numId="36" w16cid:durableId="31503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26C19"/>
    <w:rsid w:val="00033484"/>
    <w:rsid w:val="00037E42"/>
    <w:rsid w:val="00053686"/>
    <w:rsid w:val="00055143"/>
    <w:rsid w:val="00056426"/>
    <w:rsid w:val="00066073"/>
    <w:rsid w:val="000678ED"/>
    <w:rsid w:val="0007234B"/>
    <w:rsid w:val="000803BB"/>
    <w:rsid w:val="000819AF"/>
    <w:rsid w:val="00083FA4"/>
    <w:rsid w:val="000A26AA"/>
    <w:rsid w:val="000B3700"/>
    <w:rsid w:val="000B5B57"/>
    <w:rsid w:val="000B6811"/>
    <w:rsid w:val="000C1DB2"/>
    <w:rsid w:val="000C6242"/>
    <w:rsid w:val="000D2EE2"/>
    <w:rsid w:val="000D44E1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D24"/>
    <w:rsid w:val="0015373C"/>
    <w:rsid w:val="00154875"/>
    <w:rsid w:val="00162B59"/>
    <w:rsid w:val="0016464F"/>
    <w:rsid w:val="00170FF1"/>
    <w:rsid w:val="0017183C"/>
    <w:rsid w:val="001734A8"/>
    <w:rsid w:val="00173F8D"/>
    <w:rsid w:val="00182BAE"/>
    <w:rsid w:val="00190E74"/>
    <w:rsid w:val="00193C79"/>
    <w:rsid w:val="001949D8"/>
    <w:rsid w:val="00194C43"/>
    <w:rsid w:val="001A2396"/>
    <w:rsid w:val="001A273E"/>
    <w:rsid w:val="001A336D"/>
    <w:rsid w:val="001A5073"/>
    <w:rsid w:val="001A7C2B"/>
    <w:rsid w:val="001B047A"/>
    <w:rsid w:val="001B21AD"/>
    <w:rsid w:val="001B2A71"/>
    <w:rsid w:val="001B3269"/>
    <w:rsid w:val="001B37B5"/>
    <w:rsid w:val="001B4DC7"/>
    <w:rsid w:val="001C26B6"/>
    <w:rsid w:val="001D7316"/>
    <w:rsid w:val="001E3F04"/>
    <w:rsid w:val="001F14AE"/>
    <w:rsid w:val="001F4EAB"/>
    <w:rsid w:val="001F5B1E"/>
    <w:rsid w:val="00200282"/>
    <w:rsid w:val="00200B66"/>
    <w:rsid w:val="00201B15"/>
    <w:rsid w:val="00207B69"/>
    <w:rsid w:val="00211ABC"/>
    <w:rsid w:val="00212475"/>
    <w:rsid w:val="00215B66"/>
    <w:rsid w:val="0021605A"/>
    <w:rsid w:val="0022070A"/>
    <w:rsid w:val="00227F7B"/>
    <w:rsid w:val="00233689"/>
    <w:rsid w:val="00234B7E"/>
    <w:rsid w:val="00236E2D"/>
    <w:rsid w:val="0024411F"/>
    <w:rsid w:val="00266AC7"/>
    <w:rsid w:val="00274A35"/>
    <w:rsid w:val="00285557"/>
    <w:rsid w:val="0028675B"/>
    <w:rsid w:val="00290A7D"/>
    <w:rsid w:val="00297FE7"/>
    <w:rsid w:val="002A4DF9"/>
    <w:rsid w:val="002B1F5F"/>
    <w:rsid w:val="002B6DCF"/>
    <w:rsid w:val="002C2A28"/>
    <w:rsid w:val="002C4008"/>
    <w:rsid w:val="002C6883"/>
    <w:rsid w:val="002E0A66"/>
    <w:rsid w:val="002E0DD3"/>
    <w:rsid w:val="002F2163"/>
    <w:rsid w:val="00307DBE"/>
    <w:rsid w:val="00310276"/>
    <w:rsid w:val="00310A94"/>
    <w:rsid w:val="00311411"/>
    <w:rsid w:val="00312513"/>
    <w:rsid w:val="00330E3A"/>
    <w:rsid w:val="0033645F"/>
    <w:rsid w:val="00343B00"/>
    <w:rsid w:val="0034413E"/>
    <w:rsid w:val="00351723"/>
    <w:rsid w:val="00352D0A"/>
    <w:rsid w:val="00353D2A"/>
    <w:rsid w:val="0036080E"/>
    <w:rsid w:val="00364A47"/>
    <w:rsid w:val="00375B44"/>
    <w:rsid w:val="00377D59"/>
    <w:rsid w:val="00385EB0"/>
    <w:rsid w:val="00386448"/>
    <w:rsid w:val="00392D5C"/>
    <w:rsid w:val="00396EAB"/>
    <w:rsid w:val="003A37C1"/>
    <w:rsid w:val="003A5B3E"/>
    <w:rsid w:val="003B4FFA"/>
    <w:rsid w:val="003B5DB4"/>
    <w:rsid w:val="003C1A0E"/>
    <w:rsid w:val="003C1C4B"/>
    <w:rsid w:val="003C4FF3"/>
    <w:rsid w:val="003C7BCB"/>
    <w:rsid w:val="003D4933"/>
    <w:rsid w:val="003D73F0"/>
    <w:rsid w:val="003E613D"/>
    <w:rsid w:val="003E69BE"/>
    <w:rsid w:val="003E70EC"/>
    <w:rsid w:val="003F49D9"/>
    <w:rsid w:val="003F66D3"/>
    <w:rsid w:val="003F72AD"/>
    <w:rsid w:val="004011CF"/>
    <w:rsid w:val="004100D7"/>
    <w:rsid w:val="0042207F"/>
    <w:rsid w:val="004273EA"/>
    <w:rsid w:val="004338FD"/>
    <w:rsid w:val="004423C0"/>
    <w:rsid w:val="00451860"/>
    <w:rsid w:val="004525F9"/>
    <w:rsid w:val="0045738B"/>
    <w:rsid w:val="00462FF8"/>
    <w:rsid w:val="00464455"/>
    <w:rsid w:val="0047292F"/>
    <w:rsid w:val="00475403"/>
    <w:rsid w:val="00480C36"/>
    <w:rsid w:val="00484E2B"/>
    <w:rsid w:val="00485FB0"/>
    <w:rsid w:val="00492143"/>
    <w:rsid w:val="004925BF"/>
    <w:rsid w:val="00494F87"/>
    <w:rsid w:val="0049669F"/>
    <w:rsid w:val="004A305C"/>
    <w:rsid w:val="004A6D1D"/>
    <w:rsid w:val="004B2B8B"/>
    <w:rsid w:val="004B6E48"/>
    <w:rsid w:val="004C0284"/>
    <w:rsid w:val="004D032B"/>
    <w:rsid w:val="004D0332"/>
    <w:rsid w:val="004D6EE6"/>
    <w:rsid w:val="004E05C8"/>
    <w:rsid w:val="004E298C"/>
    <w:rsid w:val="004E3D7B"/>
    <w:rsid w:val="004F414B"/>
    <w:rsid w:val="004F55A2"/>
    <w:rsid w:val="004F5E60"/>
    <w:rsid w:val="004F716A"/>
    <w:rsid w:val="00500BF5"/>
    <w:rsid w:val="005016ED"/>
    <w:rsid w:val="00501BE7"/>
    <w:rsid w:val="005033A1"/>
    <w:rsid w:val="0051414B"/>
    <w:rsid w:val="00522093"/>
    <w:rsid w:val="00527854"/>
    <w:rsid w:val="00532505"/>
    <w:rsid w:val="00540C5F"/>
    <w:rsid w:val="005416B9"/>
    <w:rsid w:val="005416FA"/>
    <w:rsid w:val="00545B4E"/>
    <w:rsid w:val="00551D68"/>
    <w:rsid w:val="00553D9D"/>
    <w:rsid w:val="00564FF7"/>
    <w:rsid w:val="00565521"/>
    <w:rsid w:val="00565F94"/>
    <w:rsid w:val="005718AA"/>
    <w:rsid w:val="00582EED"/>
    <w:rsid w:val="00583890"/>
    <w:rsid w:val="00591096"/>
    <w:rsid w:val="00591FCA"/>
    <w:rsid w:val="00592527"/>
    <w:rsid w:val="00592CBA"/>
    <w:rsid w:val="00595D55"/>
    <w:rsid w:val="005B0193"/>
    <w:rsid w:val="005C2B98"/>
    <w:rsid w:val="005C5245"/>
    <w:rsid w:val="005D1255"/>
    <w:rsid w:val="005D37A9"/>
    <w:rsid w:val="005D5000"/>
    <w:rsid w:val="005D739D"/>
    <w:rsid w:val="005E0BF8"/>
    <w:rsid w:val="005F1E05"/>
    <w:rsid w:val="00607B9F"/>
    <w:rsid w:val="00612E1A"/>
    <w:rsid w:val="00613103"/>
    <w:rsid w:val="00614019"/>
    <w:rsid w:val="006250B3"/>
    <w:rsid w:val="00630B9C"/>
    <w:rsid w:val="006315D9"/>
    <w:rsid w:val="0063526F"/>
    <w:rsid w:val="0063557F"/>
    <w:rsid w:val="00652E26"/>
    <w:rsid w:val="00655624"/>
    <w:rsid w:val="0066691F"/>
    <w:rsid w:val="00677858"/>
    <w:rsid w:val="00681E35"/>
    <w:rsid w:val="006832EA"/>
    <w:rsid w:val="00683910"/>
    <w:rsid w:val="0068563F"/>
    <w:rsid w:val="00687FFC"/>
    <w:rsid w:val="0069531E"/>
    <w:rsid w:val="006966ED"/>
    <w:rsid w:val="006A7CFD"/>
    <w:rsid w:val="006B4A91"/>
    <w:rsid w:val="006B73A5"/>
    <w:rsid w:val="006C011A"/>
    <w:rsid w:val="006C1881"/>
    <w:rsid w:val="006C5AE5"/>
    <w:rsid w:val="006C6CC3"/>
    <w:rsid w:val="006C7B1F"/>
    <w:rsid w:val="006D69DD"/>
    <w:rsid w:val="006D7A62"/>
    <w:rsid w:val="006E1A1E"/>
    <w:rsid w:val="006F347D"/>
    <w:rsid w:val="006F6192"/>
    <w:rsid w:val="007056A8"/>
    <w:rsid w:val="00707309"/>
    <w:rsid w:val="00712058"/>
    <w:rsid w:val="007121C9"/>
    <w:rsid w:val="007148B0"/>
    <w:rsid w:val="00716167"/>
    <w:rsid w:val="0071655A"/>
    <w:rsid w:val="00721F8E"/>
    <w:rsid w:val="00722843"/>
    <w:rsid w:val="00737AF1"/>
    <w:rsid w:val="00740892"/>
    <w:rsid w:val="00741BB6"/>
    <w:rsid w:val="007502B1"/>
    <w:rsid w:val="00751FC8"/>
    <w:rsid w:val="00754827"/>
    <w:rsid w:val="00761C7B"/>
    <w:rsid w:val="00762E59"/>
    <w:rsid w:val="007A6668"/>
    <w:rsid w:val="007B224C"/>
    <w:rsid w:val="007C67CF"/>
    <w:rsid w:val="007C7C76"/>
    <w:rsid w:val="007D6383"/>
    <w:rsid w:val="008032F4"/>
    <w:rsid w:val="008042B0"/>
    <w:rsid w:val="008115EC"/>
    <w:rsid w:val="0081251C"/>
    <w:rsid w:val="008144FF"/>
    <w:rsid w:val="00827EAB"/>
    <w:rsid w:val="008329FE"/>
    <w:rsid w:val="00833098"/>
    <w:rsid w:val="0083482F"/>
    <w:rsid w:val="00840327"/>
    <w:rsid w:val="00847424"/>
    <w:rsid w:val="00850F41"/>
    <w:rsid w:val="00854EA3"/>
    <w:rsid w:val="008569C6"/>
    <w:rsid w:val="00864633"/>
    <w:rsid w:val="00870C1B"/>
    <w:rsid w:val="0088271B"/>
    <w:rsid w:val="00884953"/>
    <w:rsid w:val="00885EC6"/>
    <w:rsid w:val="008938AA"/>
    <w:rsid w:val="008A564F"/>
    <w:rsid w:val="008B13DE"/>
    <w:rsid w:val="008B30EA"/>
    <w:rsid w:val="008B3E0C"/>
    <w:rsid w:val="008B6269"/>
    <w:rsid w:val="008C0516"/>
    <w:rsid w:val="008D09D1"/>
    <w:rsid w:val="008D250E"/>
    <w:rsid w:val="008D7186"/>
    <w:rsid w:val="008E0AA9"/>
    <w:rsid w:val="008E13B3"/>
    <w:rsid w:val="008E3A97"/>
    <w:rsid w:val="008E63BB"/>
    <w:rsid w:val="008E7A2C"/>
    <w:rsid w:val="008E7F5A"/>
    <w:rsid w:val="008F369A"/>
    <w:rsid w:val="008F5E4E"/>
    <w:rsid w:val="008F61D3"/>
    <w:rsid w:val="008F67D4"/>
    <w:rsid w:val="008F7AED"/>
    <w:rsid w:val="0090148E"/>
    <w:rsid w:val="00910339"/>
    <w:rsid w:val="00916BA5"/>
    <w:rsid w:val="0092063F"/>
    <w:rsid w:val="009210C7"/>
    <w:rsid w:val="00924C86"/>
    <w:rsid w:val="0093147E"/>
    <w:rsid w:val="00931F84"/>
    <w:rsid w:val="00932305"/>
    <w:rsid w:val="009355BE"/>
    <w:rsid w:val="009434C2"/>
    <w:rsid w:val="00946F12"/>
    <w:rsid w:val="0096019A"/>
    <w:rsid w:val="009639B0"/>
    <w:rsid w:val="00967518"/>
    <w:rsid w:val="009702A0"/>
    <w:rsid w:val="00976484"/>
    <w:rsid w:val="0098445A"/>
    <w:rsid w:val="0098726B"/>
    <w:rsid w:val="009968D4"/>
    <w:rsid w:val="009A45AD"/>
    <w:rsid w:val="009B2C12"/>
    <w:rsid w:val="009C0B4E"/>
    <w:rsid w:val="009C1326"/>
    <w:rsid w:val="009C5F18"/>
    <w:rsid w:val="009C6A2D"/>
    <w:rsid w:val="009C78ED"/>
    <w:rsid w:val="009C7BD1"/>
    <w:rsid w:val="009D726D"/>
    <w:rsid w:val="009F296F"/>
    <w:rsid w:val="00A00369"/>
    <w:rsid w:val="00A013B2"/>
    <w:rsid w:val="00A0279B"/>
    <w:rsid w:val="00A04540"/>
    <w:rsid w:val="00A07D0A"/>
    <w:rsid w:val="00A12073"/>
    <w:rsid w:val="00A14612"/>
    <w:rsid w:val="00A14B98"/>
    <w:rsid w:val="00A153BB"/>
    <w:rsid w:val="00A2374A"/>
    <w:rsid w:val="00A23EF5"/>
    <w:rsid w:val="00A352E9"/>
    <w:rsid w:val="00A37B98"/>
    <w:rsid w:val="00A44EAE"/>
    <w:rsid w:val="00A4553A"/>
    <w:rsid w:val="00A4739B"/>
    <w:rsid w:val="00A50493"/>
    <w:rsid w:val="00A564BC"/>
    <w:rsid w:val="00A66142"/>
    <w:rsid w:val="00A66FA8"/>
    <w:rsid w:val="00A67C89"/>
    <w:rsid w:val="00A706E4"/>
    <w:rsid w:val="00A758B5"/>
    <w:rsid w:val="00A87CB2"/>
    <w:rsid w:val="00A91874"/>
    <w:rsid w:val="00AA03A0"/>
    <w:rsid w:val="00AB0734"/>
    <w:rsid w:val="00AF1BE2"/>
    <w:rsid w:val="00B03535"/>
    <w:rsid w:val="00B1046D"/>
    <w:rsid w:val="00B113A3"/>
    <w:rsid w:val="00B1170C"/>
    <w:rsid w:val="00B1364E"/>
    <w:rsid w:val="00B15E92"/>
    <w:rsid w:val="00B203BB"/>
    <w:rsid w:val="00B2653A"/>
    <w:rsid w:val="00B32837"/>
    <w:rsid w:val="00B33460"/>
    <w:rsid w:val="00B36B0E"/>
    <w:rsid w:val="00B404E2"/>
    <w:rsid w:val="00B41E09"/>
    <w:rsid w:val="00B51877"/>
    <w:rsid w:val="00B54883"/>
    <w:rsid w:val="00B55407"/>
    <w:rsid w:val="00B608BF"/>
    <w:rsid w:val="00B627E7"/>
    <w:rsid w:val="00B66C52"/>
    <w:rsid w:val="00B7174F"/>
    <w:rsid w:val="00B75145"/>
    <w:rsid w:val="00B94BEE"/>
    <w:rsid w:val="00B95FCC"/>
    <w:rsid w:val="00BB7088"/>
    <w:rsid w:val="00BC4060"/>
    <w:rsid w:val="00BC4093"/>
    <w:rsid w:val="00BC5E9D"/>
    <w:rsid w:val="00BC6290"/>
    <w:rsid w:val="00BD72A7"/>
    <w:rsid w:val="00BE0362"/>
    <w:rsid w:val="00BE5CD8"/>
    <w:rsid w:val="00BE730E"/>
    <w:rsid w:val="00BF286E"/>
    <w:rsid w:val="00BF359A"/>
    <w:rsid w:val="00C00305"/>
    <w:rsid w:val="00C12B3A"/>
    <w:rsid w:val="00C1425B"/>
    <w:rsid w:val="00C15F89"/>
    <w:rsid w:val="00C23023"/>
    <w:rsid w:val="00C23A29"/>
    <w:rsid w:val="00C27699"/>
    <w:rsid w:val="00C3077E"/>
    <w:rsid w:val="00C437FE"/>
    <w:rsid w:val="00C522B2"/>
    <w:rsid w:val="00C52895"/>
    <w:rsid w:val="00C57DF9"/>
    <w:rsid w:val="00C67C4F"/>
    <w:rsid w:val="00C70028"/>
    <w:rsid w:val="00C80EDD"/>
    <w:rsid w:val="00C823AF"/>
    <w:rsid w:val="00C85449"/>
    <w:rsid w:val="00C9078C"/>
    <w:rsid w:val="00C93885"/>
    <w:rsid w:val="00CA1326"/>
    <w:rsid w:val="00CA455C"/>
    <w:rsid w:val="00CB37DE"/>
    <w:rsid w:val="00CB6AB7"/>
    <w:rsid w:val="00CB7CE0"/>
    <w:rsid w:val="00CD62AD"/>
    <w:rsid w:val="00CD6C78"/>
    <w:rsid w:val="00CE21F4"/>
    <w:rsid w:val="00CE5079"/>
    <w:rsid w:val="00CE5DD1"/>
    <w:rsid w:val="00CF004A"/>
    <w:rsid w:val="00CF6E39"/>
    <w:rsid w:val="00D0025F"/>
    <w:rsid w:val="00D01B7E"/>
    <w:rsid w:val="00D01C91"/>
    <w:rsid w:val="00D043EB"/>
    <w:rsid w:val="00D061E3"/>
    <w:rsid w:val="00D07CD6"/>
    <w:rsid w:val="00D13D3F"/>
    <w:rsid w:val="00D14FA2"/>
    <w:rsid w:val="00D1523F"/>
    <w:rsid w:val="00D2028A"/>
    <w:rsid w:val="00D212E4"/>
    <w:rsid w:val="00D2497D"/>
    <w:rsid w:val="00D24FE6"/>
    <w:rsid w:val="00D27AB0"/>
    <w:rsid w:val="00D34B7D"/>
    <w:rsid w:val="00D364F8"/>
    <w:rsid w:val="00D43480"/>
    <w:rsid w:val="00D44805"/>
    <w:rsid w:val="00D55B21"/>
    <w:rsid w:val="00D5778F"/>
    <w:rsid w:val="00D607B7"/>
    <w:rsid w:val="00D61347"/>
    <w:rsid w:val="00D645FD"/>
    <w:rsid w:val="00D65A89"/>
    <w:rsid w:val="00D66304"/>
    <w:rsid w:val="00D6696D"/>
    <w:rsid w:val="00D85563"/>
    <w:rsid w:val="00D86317"/>
    <w:rsid w:val="00D87D97"/>
    <w:rsid w:val="00D87FBA"/>
    <w:rsid w:val="00D91AE2"/>
    <w:rsid w:val="00D92EC3"/>
    <w:rsid w:val="00D950E1"/>
    <w:rsid w:val="00D95690"/>
    <w:rsid w:val="00DA73FF"/>
    <w:rsid w:val="00DB6941"/>
    <w:rsid w:val="00DC0FAD"/>
    <w:rsid w:val="00DC4B0E"/>
    <w:rsid w:val="00DC58EB"/>
    <w:rsid w:val="00DD11F1"/>
    <w:rsid w:val="00DD2E1F"/>
    <w:rsid w:val="00DD4E6C"/>
    <w:rsid w:val="00DE2113"/>
    <w:rsid w:val="00DF2D94"/>
    <w:rsid w:val="00DF66DF"/>
    <w:rsid w:val="00DF7A3A"/>
    <w:rsid w:val="00E007DE"/>
    <w:rsid w:val="00E063D4"/>
    <w:rsid w:val="00E0730D"/>
    <w:rsid w:val="00E1125C"/>
    <w:rsid w:val="00E217DE"/>
    <w:rsid w:val="00E2383E"/>
    <w:rsid w:val="00E310AE"/>
    <w:rsid w:val="00E3586B"/>
    <w:rsid w:val="00E35DE7"/>
    <w:rsid w:val="00E41A52"/>
    <w:rsid w:val="00E442F3"/>
    <w:rsid w:val="00E472D5"/>
    <w:rsid w:val="00E52550"/>
    <w:rsid w:val="00E55D1F"/>
    <w:rsid w:val="00E575F5"/>
    <w:rsid w:val="00E6335D"/>
    <w:rsid w:val="00E64150"/>
    <w:rsid w:val="00E714AE"/>
    <w:rsid w:val="00E72D3D"/>
    <w:rsid w:val="00E72D5A"/>
    <w:rsid w:val="00E7316B"/>
    <w:rsid w:val="00E75809"/>
    <w:rsid w:val="00E80E3B"/>
    <w:rsid w:val="00E84B32"/>
    <w:rsid w:val="00E8558E"/>
    <w:rsid w:val="00E85C6F"/>
    <w:rsid w:val="00E85FEF"/>
    <w:rsid w:val="00E95166"/>
    <w:rsid w:val="00E97958"/>
    <w:rsid w:val="00E97EE7"/>
    <w:rsid w:val="00EA0053"/>
    <w:rsid w:val="00EA132F"/>
    <w:rsid w:val="00EA5C16"/>
    <w:rsid w:val="00EB4083"/>
    <w:rsid w:val="00EB5262"/>
    <w:rsid w:val="00ED2A40"/>
    <w:rsid w:val="00EE1F94"/>
    <w:rsid w:val="00EE700A"/>
    <w:rsid w:val="00EF16B9"/>
    <w:rsid w:val="00EF6613"/>
    <w:rsid w:val="00F0170B"/>
    <w:rsid w:val="00F10A6C"/>
    <w:rsid w:val="00F11857"/>
    <w:rsid w:val="00F12291"/>
    <w:rsid w:val="00F13F06"/>
    <w:rsid w:val="00F32A33"/>
    <w:rsid w:val="00F34BC7"/>
    <w:rsid w:val="00F4778D"/>
    <w:rsid w:val="00F4796C"/>
    <w:rsid w:val="00F55518"/>
    <w:rsid w:val="00F67ECF"/>
    <w:rsid w:val="00F67FEE"/>
    <w:rsid w:val="00F72EB5"/>
    <w:rsid w:val="00F7419E"/>
    <w:rsid w:val="00F87F24"/>
    <w:rsid w:val="00FA1408"/>
    <w:rsid w:val="00FA5A0C"/>
    <w:rsid w:val="00FB1EC8"/>
    <w:rsid w:val="00FB2B95"/>
    <w:rsid w:val="00FB4CDB"/>
    <w:rsid w:val="00FB57A3"/>
    <w:rsid w:val="00FC207F"/>
    <w:rsid w:val="00FC6D53"/>
    <w:rsid w:val="00FE27F7"/>
    <w:rsid w:val="00FE7A0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C1EAD"/>
  <w15:docId w15:val="{D62BBDB1-5957-43A7-89BD-89AA04D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 Township</cp:lastModifiedBy>
  <cp:revision>2</cp:revision>
  <cp:lastPrinted>2023-01-02T22:14:00Z</cp:lastPrinted>
  <dcterms:created xsi:type="dcterms:W3CDTF">2024-03-05T18:43:00Z</dcterms:created>
  <dcterms:modified xsi:type="dcterms:W3CDTF">2024-03-05T18:43:00Z</dcterms:modified>
</cp:coreProperties>
</file>